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2A" w:rsidRDefault="0072722E">
      <w:pPr>
        <w:rPr>
          <w:rFonts w:ascii="方正粗宋简体" w:hAnsi="方正粗宋简体" w:cs="方正粗宋简体"/>
          <w:b/>
          <w:color w:val="FF0000"/>
          <w:spacing w:val="92"/>
          <w:sz w:val="72"/>
          <w:szCs w:val="72"/>
        </w:rPr>
      </w:pPr>
      <w:r>
        <w:rPr>
          <w:rFonts w:ascii="方正粗宋简体" w:hAnsi="方正粗宋简体" w:cs="方正粗宋简体" w:hint="eastAsia"/>
          <w:b/>
          <w:color w:val="FF0000"/>
          <w:spacing w:val="92"/>
          <w:sz w:val="72"/>
          <w:szCs w:val="72"/>
        </w:rPr>
        <w:t>广东省装饰行业协会</w:t>
      </w:r>
    </w:p>
    <w:p w:rsidR="002C342A" w:rsidRDefault="0034588E">
      <w:pPr>
        <w:snapToGrid w:val="0"/>
        <w:spacing w:line="460" w:lineRule="atLeast"/>
        <w:rPr>
          <w:rFonts w:ascii="宋体" w:hAnsi="宋体"/>
          <w:b/>
          <w:bCs/>
          <w:sz w:val="32"/>
          <w:szCs w:val="32"/>
        </w:rPr>
      </w:pPr>
      <w:r w:rsidRPr="0034588E">
        <w:rPr>
          <w:rFonts w:ascii="Times New Roman" w:hAnsi="Times New Roman"/>
          <w:szCs w:val="24"/>
        </w:rPr>
        <w:pict>
          <v:line id="线条1" o:spid="_x0000_s1026" style="position:absolute;left:0;text-align:left;z-index:251659264" from="-9pt,3.6pt" to="423pt,3.6pt" o:gfxdata="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CkfPLT&#10;AAAABwEAAA8AAAAAAAAAAQAgAAAAIgAAAGRycy9kb3ducmV2LnhtbFBLAQIUABQAAAAIAIdO4kBX&#10;YvM87AEAAOEDAAAOAAAAAAAAAAEAIAAAACIBAABkcnMvZTJvRG9jLnhtbFBLBQYAAAAABgAGAFkB&#10;AACABQAAAAA=&#10;" o:allowincell="f" strokecolor="red" strokeweight="4.5pt">
            <v:stroke linestyle="thickThin"/>
          </v:line>
        </w:pict>
      </w:r>
    </w:p>
    <w:p w:rsidR="002C342A" w:rsidRDefault="0072722E">
      <w:pPr>
        <w:widowControl/>
        <w:shd w:val="clear" w:color="auto" w:fill="FFFFFF"/>
        <w:spacing w:after="175"/>
        <w:jc w:val="center"/>
        <w:outlineLvl w:val="0"/>
        <w:rPr>
          <w:rFonts w:ascii="Microsoft YaHei UI" w:eastAsia="Microsoft YaHei UI" w:hAnsi="Microsoft YaHei UI" w:cs="宋体"/>
          <w:b/>
          <w:spacing w:val="7"/>
          <w:kern w:val="36"/>
          <w:sz w:val="32"/>
          <w:szCs w:val="32"/>
        </w:rPr>
      </w:pPr>
      <w:r>
        <w:rPr>
          <w:rFonts w:ascii="Microsoft YaHei UI" w:eastAsia="Microsoft YaHei UI" w:hAnsi="Microsoft YaHei UI" w:cs="宋体" w:hint="eastAsia"/>
          <w:b/>
          <w:spacing w:val="7"/>
          <w:kern w:val="36"/>
          <w:sz w:val="32"/>
          <w:szCs w:val="32"/>
        </w:rPr>
        <w:t>会员福利！建筑企业全生命周期管控实操训练营开班啦！</w:t>
      </w:r>
    </w:p>
    <w:p w:rsidR="002C342A" w:rsidRDefault="002C342A">
      <w:pPr>
        <w:spacing w:line="410" w:lineRule="exact"/>
        <w:ind w:firstLineChars="200" w:firstLine="420"/>
        <w:rPr>
          <w:rFonts w:ascii="宋体" w:hAnsi="宋体"/>
          <w:szCs w:val="21"/>
        </w:rPr>
      </w:pPr>
    </w:p>
    <w:p w:rsidR="002C342A" w:rsidRDefault="0072722E">
      <w:pPr>
        <w:spacing w:line="41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各会员企业： 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年来，随着我国经济发展阶段变化，企业综合成本日益攀升，市场环境中面临人力成本、材料成本推升、融资困难、竞争加剧等现实问题。同时，随着金税四期的开发及上线运行，税务机关在不断优化纳税服务的同时，监管能力必将再上新台阶。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为进一步加强企业合法经营理念，增强防控涉税风险，丰富会员服务福利，协会现将中保华税务咨询中心举办的</w:t>
      </w:r>
      <w:r>
        <w:rPr>
          <w:rFonts w:ascii="宋体" w:hAnsi="宋体" w:hint="eastAsia"/>
          <w:b/>
          <w:bCs/>
          <w:szCs w:val="21"/>
        </w:rPr>
        <w:t>《建筑企业全生命周期业务、财务、税务、法务一体化管控实操训练营》系列课程——“</w:t>
      </w:r>
      <w:r>
        <w:rPr>
          <w:rFonts w:ascii="宋体" w:hAnsi="宋体" w:hint="eastAsia"/>
          <w:b/>
          <w:szCs w:val="21"/>
        </w:rPr>
        <w:t>建筑企业设立阶段业、财、税、法实务问题处理与筹划（上）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 w:hint="eastAsia"/>
          <w:szCs w:val="21"/>
        </w:rPr>
        <w:t>转发给大家，每家会员企业限报1个免费名额，名额有限，先报先得。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现将具体事宜通知如下：</w:t>
      </w:r>
    </w:p>
    <w:p w:rsidR="002C342A" w:rsidRDefault="0072722E">
      <w:pPr>
        <w:widowControl/>
        <w:spacing w:line="410" w:lineRule="exact"/>
        <w:ind w:firstLineChars="198" w:firstLine="417"/>
        <w:textAlignment w:val="baseline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b/>
          <w:szCs w:val="21"/>
        </w:rPr>
        <w:t>一、</w:t>
      </w:r>
      <w:r>
        <w:rPr>
          <w:rStyle w:val="NormalCharacter"/>
          <w:rFonts w:ascii="宋体" w:hAnsi="宋体"/>
          <w:b/>
          <w:szCs w:val="21"/>
        </w:rPr>
        <w:t>时间地点</w:t>
      </w:r>
    </w:p>
    <w:p w:rsidR="002C342A" w:rsidRDefault="0072722E">
      <w:pPr>
        <w:ind w:firstLineChars="200" w:firstLine="420"/>
        <w:rPr>
          <w:rStyle w:val="NormalCharacter"/>
          <w:rFonts w:ascii="宋体" w:hAnsi="宋体" w:hint="eastAsia"/>
          <w:szCs w:val="21"/>
        </w:rPr>
      </w:pPr>
      <w:r>
        <w:rPr>
          <w:rStyle w:val="NormalCharacter"/>
          <w:rFonts w:ascii="宋体" w:hAnsi="宋体" w:hint="eastAsia"/>
          <w:szCs w:val="21"/>
        </w:rPr>
        <w:t>2023年11月26-27日 广州（26日全天报到</w:t>
      </w:r>
      <w:r w:rsidR="00F26DBC">
        <w:rPr>
          <w:rStyle w:val="NormalCharacter"/>
          <w:rFonts w:ascii="宋体" w:hAnsi="宋体" w:hint="eastAsia"/>
          <w:szCs w:val="21"/>
        </w:rPr>
        <w:t>，27日上课</w:t>
      </w:r>
      <w:r>
        <w:rPr>
          <w:rStyle w:val="NormalCharacter"/>
          <w:rFonts w:ascii="宋体" w:hAnsi="宋体" w:hint="eastAsia"/>
          <w:szCs w:val="21"/>
        </w:rPr>
        <w:t>）</w:t>
      </w:r>
    </w:p>
    <w:p w:rsidR="00F26DBC" w:rsidRPr="00F26DBC" w:rsidRDefault="00F26DBC" w:rsidP="00F26DBC">
      <w:pPr>
        <w:ind w:firstLineChars="200" w:firstLine="420"/>
        <w:rPr>
          <w:rFonts w:ascii="宋体" w:eastAsia="宋体" w:hAnsi="宋体" w:cs="宋体"/>
          <w:spacing w:val="8"/>
          <w:kern w:val="0"/>
          <w:sz w:val="20"/>
          <w:szCs w:val="20"/>
        </w:rPr>
      </w:pPr>
      <w:r>
        <w:rPr>
          <w:rStyle w:val="NormalCharacter"/>
          <w:rFonts w:ascii="宋体" w:hAnsi="宋体" w:hint="eastAsia"/>
          <w:szCs w:val="21"/>
        </w:rPr>
        <w:t>地点，稍后通知</w:t>
      </w:r>
    </w:p>
    <w:p w:rsidR="002C342A" w:rsidRDefault="0072722E">
      <w:pPr>
        <w:spacing w:line="410" w:lineRule="exact"/>
        <w:ind w:firstLineChars="100" w:firstLine="211"/>
        <w:rPr>
          <w:rStyle w:val="NormalCharacter"/>
          <w:rFonts w:ascii="宋体" w:hAnsi="宋体"/>
          <w:b/>
          <w:kern w:val="0"/>
          <w:szCs w:val="21"/>
        </w:rPr>
      </w:pPr>
      <w:r>
        <w:rPr>
          <w:rStyle w:val="NormalCharacter"/>
          <w:rFonts w:ascii="宋体" w:hAnsi="宋体"/>
          <w:b/>
          <w:kern w:val="0"/>
          <w:szCs w:val="21"/>
        </w:rPr>
        <w:t>二、培训对象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1、建筑企业财务人员（小白和资深）。无论是刚入职不久的财务小白，还是建筑业资深财务人员，均能从课程中各取所需，学有所获。财务小白入门快，资深人员再提升。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2、建筑企业业务和法务人员。</w:t>
      </w:r>
    </w:p>
    <w:p w:rsidR="002C342A" w:rsidRDefault="0072722E">
      <w:pPr>
        <w:spacing w:line="41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3、建筑企业老板、股东及高管人员。</w:t>
      </w:r>
    </w:p>
    <w:p w:rsidR="002C342A" w:rsidRDefault="0072722E">
      <w:pPr>
        <w:spacing w:line="380" w:lineRule="exact"/>
        <w:ind w:firstLineChars="100" w:firstLine="211"/>
        <w:rPr>
          <w:rFonts w:ascii="宋体" w:hAnsi="宋体"/>
          <w:b/>
          <w:bCs/>
          <w:szCs w:val="21"/>
        </w:rPr>
      </w:pPr>
      <w:r>
        <w:rPr>
          <w:rStyle w:val="NormalCharacter"/>
          <w:rFonts w:ascii="宋体" w:hAnsi="宋体" w:hint="eastAsia"/>
          <w:b/>
          <w:szCs w:val="21"/>
        </w:rPr>
        <w:t xml:space="preserve">三、课程特点 </w:t>
      </w:r>
    </w:p>
    <w:p w:rsidR="002C342A" w:rsidRDefault="0072722E">
      <w:pPr>
        <w:spacing w:line="38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、课程共有2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个部分，1</w:t>
      </w:r>
      <w:r>
        <w:rPr>
          <w:rFonts w:ascii="宋体" w:hAnsi="宋体"/>
          <w:szCs w:val="21"/>
        </w:rPr>
        <w:t>08</w:t>
      </w:r>
      <w:r>
        <w:rPr>
          <w:rFonts w:ascii="宋体" w:hAnsi="宋体" w:hint="eastAsia"/>
          <w:szCs w:val="21"/>
        </w:rPr>
        <w:t>个模块，解决建筑企业业、财、税、法</w:t>
      </w:r>
      <w:r>
        <w:rPr>
          <w:rFonts w:ascii="宋体" w:hAnsi="宋体"/>
          <w:szCs w:val="21"/>
        </w:rPr>
        <w:t>500</w:t>
      </w:r>
      <w:r>
        <w:rPr>
          <w:rFonts w:ascii="宋体" w:hAnsi="宋体" w:hint="eastAsia"/>
          <w:szCs w:val="21"/>
        </w:rPr>
        <w:t>多个具体实务问题，课纲详细内容2万余字，所有具体问题一目了然。</w:t>
      </w:r>
    </w:p>
    <w:p w:rsidR="002C342A" w:rsidRDefault="0072722E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、课程具有八大特征——全面性、系统性、权威性、专业性、实操性、案例性、词典性、实时性。</w:t>
      </w:r>
    </w:p>
    <w:p w:rsidR="002C342A" w:rsidRDefault="0072722E">
      <w:pPr>
        <w:widowControl/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、课程立足实务，紧接地气，从工作中来，到工作中去，全程案例式讲授。案例来源于授课老师3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余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工作经历、各地稽查局稽查工作实务及各地法院司法实务，系统而权威地展现建筑企业业、财、税、法日常管理及应对工作全貌。</w:t>
      </w:r>
    </w:p>
    <w:p w:rsidR="002C342A" w:rsidRDefault="0072722E">
      <w:pPr>
        <w:spacing w:line="380" w:lineRule="exact"/>
        <w:ind w:firstLineChars="198" w:firstLine="417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b/>
          <w:kern w:val="0"/>
          <w:szCs w:val="21"/>
        </w:rPr>
        <w:t>四、课程收益</w:t>
      </w:r>
    </w:p>
    <w:p w:rsidR="002C342A" w:rsidRDefault="0072722E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1、了解税收征管新形势，树立税务管理新理念。</w:t>
      </w:r>
    </w:p>
    <w:p w:rsidR="002C342A" w:rsidRDefault="0072722E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2、了解建筑业从筹建、经营到注销全流程全税种政策规定，准确把握建筑业税收政策要点及执行口径，有效解决</w:t>
      </w:r>
      <w:r>
        <w:rPr>
          <w:rFonts w:ascii="宋体" w:hAnsi="宋体"/>
          <w:szCs w:val="21"/>
        </w:rPr>
        <w:t>合同签订</w:t>
      </w:r>
      <w:r>
        <w:rPr>
          <w:rFonts w:ascii="宋体" w:hAnsi="宋体" w:hint="eastAsia"/>
          <w:szCs w:val="21"/>
        </w:rPr>
        <w:t>、发票管理、业务处理及会计核算等</w:t>
      </w:r>
      <w:r>
        <w:rPr>
          <w:rFonts w:ascii="宋体" w:hAnsi="宋体"/>
          <w:szCs w:val="21"/>
        </w:rPr>
        <w:t>环节</w:t>
      </w:r>
      <w:r>
        <w:rPr>
          <w:rFonts w:ascii="宋体" w:hAnsi="宋体" w:hint="eastAsia"/>
          <w:szCs w:val="21"/>
        </w:rPr>
        <w:t>涉</w:t>
      </w:r>
      <w:r>
        <w:rPr>
          <w:rFonts w:ascii="宋体" w:hAnsi="宋体"/>
          <w:szCs w:val="21"/>
        </w:rPr>
        <w:t>税</w:t>
      </w:r>
      <w:r>
        <w:rPr>
          <w:rFonts w:ascii="宋体" w:hAnsi="宋体" w:hint="eastAsia"/>
          <w:szCs w:val="21"/>
        </w:rPr>
        <w:t>问题，进</w:t>
      </w:r>
      <w:r>
        <w:rPr>
          <w:rFonts w:ascii="宋体" w:hAnsi="宋体" w:hint="eastAsia"/>
          <w:szCs w:val="21"/>
        </w:rPr>
        <w:lastRenderedPageBreak/>
        <w:t>一步提高企业财税人员专业技能，有效防范、化解企业和个人涉税风险。</w:t>
      </w:r>
    </w:p>
    <w:p w:rsidR="002C342A" w:rsidRDefault="0072722E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、掌握重点业务的税务处理及检查应对方法，进一步提升涉税争议解决能力，建立企业税务管理长效机制。</w:t>
      </w:r>
    </w:p>
    <w:p w:rsidR="002C342A" w:rsidRDefault="0072722E">
      <w:pPr>
        <w:spacing w:line="38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、了解建筑活动相关监管法规，实现业务、财务、法务与税务全面统筹，协同推进，一体化管控，促进企业健康发展，行稳致远。</w:t>
      </w:r>
    </w:p>
    <w:p w:rsidR="002C342A" w:rsidRDefault="0072722E">
      <w:pPr>
        <w:spacing w:line="380" w:lineRule="exact"/>
        <w:ind w:firstLineChars="150" w:firstLine="316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五、讲课专家</w:t>
      </w:r>
    </w:p>
    <w:p w:rsidR="002C342A" w:rsidRDefault="0072722E">
      <w:pPr>
        <w:spacing w:line="380" w:lineRule="exact"/>
        <w:ind w:firstLineChars="246" w:firstLine="519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szCs w:val="21"/>
        </w:rPr>
        <w:t>吴教授</w:t>
      </w:r>
      <w:r>
        <w:rPr>
          <w:rFonts w:ascii="宋体" w:hAnsi="宋体" w:hint="eastAsia"/>
          <w:szCs w:val="21"/>
        </w:rPr>
        <w:t>，现任某税局业务副局长。20多年税收工作经历，多次参与大型企业税务稽查，参与查处重大出口骗税案件，查处数十起虚开发票案件，具有扎实的税收理论基础和丰富的税收管理及筹划实践经验。长期从事一线税收业务工作，对国家税收政策的学习、研究具有连续性，直接和纳税人打交道，善于从实战的角度理解和运用税收政策，精准把握政策执行口径，能将税务机关的征收管理与纳税人实务操作相结合，探究</w:t>
      </w:r>
      <w:r>
        <w:rPr>
          <w:rFonts w:ascii="宋体" w:hAnsi="宋体" w:hint="eastAsia"/>
          <w:kern w:val="0"/>
          <w:szCs w:val="21"/>
        </w:rPr>
        <w:t>企业经济业务涉税问题的处理方法和技巧。</w:t>
      </w:r>
    </w:p>
    <w:p w:rsidR="002C342A" w:rsidRDefault="0072722E">
      <w:pPr>
        <w:ind w:firstLineChars="196" w:firstLine="394"/>
        <w:rPr>
          <w:rFonts w:ascii="宋体" w:eastAsia="宋体" w:hAnsi="宋体" w:cs="宋体"/>
          <w:b/>
          <w:bCs/>
          <w:kern w:val="0"/>
          <w:sz w:val="20"/>
        </w:rPr>
      </w:pPr>
      <w:r>
        <w:rPr>
          <w:rFonts w:ascii="宋体" w:eastAsia="宋体" w:hAnsi="宋体" w:cs="宋体"/>
          <w:b/>
          <w:bCs/>
          <w:kern w:val="0"/>
          <w:sz w:val="20"/>
        </w:rPr>
        <w:t xml:space="preserve">六、课题大纲第一部分 </w:t>
      </w:r>
    </w:p>
    <w:p w:rsidR="002C342A" w:rsidRDefault="002C342A">
      <w:pPr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2C342A">
        <w:tc>
          <w:tcPr>
            <w:tcW w:w="8414" w:type="dxa"/>
          </w:tcPr>
          <w:p w:rsidR="002C342A" w:rsidRDefault="0072722E">
            <w:pPr>
              <w:widowControl/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一、企业组织形式的选择与筹划</w:t>
            </w:r>
          </w:p>
        </w:tc>
      </w:tr>
      <w:tr w:rsidR="002C342A">
        <w:trPr>
          <w:trHeight w:val="1984"/>
        </w:trPr>
        <w:tc>
          <w:tcPr>
            <w:tcW w:w="8414" w:type="dxa"/>
          </w:tcPr>
          <w:p w:rsidR="002C342A" w:rsidRDefault="0072722E">
            <w:pPr>
              <w:widowControl/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（一）有限责任还是无限责任——如何选择经营主体类型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1、商事主体有哪些主要类型？            2、公司制企业的优势何在？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3、有限责任公司与股份有限公司的区别？  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、一人有限公司与普通有限公司有什么不同？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、一人有限公司为“夫妻店”的，股东及配偶对公司债务是否承担连带责任？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、夫妻公司是否存在无限责任的法律风险？财务方面应注意什么？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7、什么是公司人格混同？                8、人格混同的认定标准是什么？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9、人格混同的法律风险及风险防控？     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、一人有限公司与个人独资企业有什么不同？ 1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、如何用好个体户这个工具？</w:t>
            </w:r>
          </w:p>
          <w:p w:rsidR="002C342A" w:rsidRDefault="0072722E">
            <w:pPr>
              <w:widowControl/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（二）普通合伙还是有限合伙——如何设立合伙企业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1、什么是合伙企业？       2、什么是普通合伙企业？   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、什么是有限合伙企业？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4、什么是普通合伙人？   5、什么是有限合伙人？   6、如何用好有限合伙企业这个工具？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（三）分公司还是子公司——如何设立分支机构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1、分公司与子公司的区别          2、分公司与子公司的各自优势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3、分支机构税会实务问题处理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（1）分支机构的“独立核算”和“非独立核算”到底是怎么一回事？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（2）“独立核算”和“非独立核算”的分支机构在税收管理上有什么不同？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1）增值税如何纳税申报    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2）总公司是一般纳税人，分公司可以是小规模纳税人吗？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 xml:space="preserve">）企业所得税如何纳税申报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4）若分公司独立计算企业所得税，能否享受小型微利企业优惠政策？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）个人所得税如何纳税申报     6）异地施工企业个人所得税就地缴纳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）其他税费如何纳税申报</w:t>
            </w:r>
          </w:p>
          <w:p w:rsidR="002C342A" w:rsidRDefault="0072722E">
            <w:pPr>
              <w:widowControl/>
              <w:spacing w:line="35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（四）建筑企业异地工程项目成立施工单位的选择与筹划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1、建筑企业异地项目一般有几种运作模式？   2、项目部模式如何纳税申报？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 xml:space="preserve">3、项目部预缴增值税时能否扣除分包款？ 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4、项目部预缴企业所得税时能否扣除分包款？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、分公司模式如何纳税申报及优缺点？       6、分公司可以签合同吗？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、建筑企业异地工程项目是否必须在当地设立分公司或子公司</w:t>
            </w:r>
            <w:r>
              <w:rPr>
                <w:rFonts w:ascii="宋体" w:hAnsi="宋体"/>
                <w:bCs/>
                <w:szCs w:val="21"/>
              </w:rPr>
              <w:t>?</w:t>
            </w:r>
          </w:p>
          <w:p w:rsidR="002C342A" w:rsidRDefault="0072722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、建筑企业异地工程项目成立施工单位的筹划要点</w:t>
            </w:r>
          </w:p>
        </w:tc>
      </w:tr>
      <w:tr w:rsidR="002C342A">
        <w:trPr>
          <w:trHeight w:val="555"/>
        </w:trPr>
        <w:tc>
          <w:tcPr>
            <w:tcW w:w="8414" w:type="dxa"/>
          </w:tcPr>
          <w:p w:rsidR="002C342A" w:rsidRDefault="0072722E">
            <w:pPr>
              <w:spacing w:line="35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二、设立有限公司股东身份的选择与筹划</w:t>
            </w:r>
          </w:p>
        </w:tc>
      </w:tr>
      <w:tr w:rsidR="002C342A">
        <w:tc>
          <w:tcPr>
            <w:tcW w:w="8414" w:type="dxa"/>
          </w:tcPr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（一）法人股东税收待遇     </w:t>
            </w:r>
            <w:r w:rsidR="00D452FC"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（二）自然人股东税收待遇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（三）个体工商户股东税收待遇     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（四）个独企业、合伙企业股东税收待遇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1、个独、合伙企业如何纳税？     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2、个独、合伙企业对外投资分回的利息、股息、红利如何纳税？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3、个独、合伙企业转让股权如何纳税？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（五）境外法人或组织（非居民企业）股东税收待遇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（六）境外自然人股东税收待遇</w:t>
            </w:r>
          </w:p>
        </w:tc>
      </w:tr>
      <w:tr w:rsidR="002C342A">
        <w:trPr>
          <w:trHeight w:val="492"/>
        </w:trPr>
        <w:tc>
          <w:tcPr>
            <w:tcW w:w="8414" w:type="dxa"/>
          </w:tcPr>
          <w:p w:rsidR="002C342A" w:rsidRDefault="0072722E">
            <w:pPr>
              <w:spacing w:line="35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三、注册资本实务问题处理与风险防控</w:t>
            </w:r>
          </w:p>
        </w:tc>
      </w:tr>
      <w:tr w:rsidR="002C342A">
        <w:tc>
          <w:tcPr>
            <w:tcW w:w="8414" w:type="dxa"/>
          </w:tcPr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（一）认缴制下注册资本规模大小的选择与筹划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（二）股东出资加速到期实务问题处理与风险防控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（三）认缴制下股东投资未到位发生的借款利息税前扣除问题处理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（四）个人股东未实缴出资，</w:t>
            </w:r>
            <w:r>
              <w:rPr>
                <w:rFonts w:ascii="宋体" w:hAnsi="宋体"/>
                <w:bCs/>
                <w:szCs w:val="21"/>
              </w:rPr>
              <w:t>0</w:t>
            </w:r>
            <w:r>
              <w:rPr>
                <w:rFonts w:ascii="宋体" w:hAnsi="宋体" w:hint="eastAsia"/>
                <w:bCs/>
                <w:szCs w:val="21"/>
              </w:rPr>
              <w:t>元转让股权是否可以不用交个税？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（五）认缴制下个人股权转让时如何确认收入和成本？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（六）未实缴出资的股东转让股权后，公司出现债务纠纷，能否追加原股东为被执行人？ 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（七）认缴期限届满股东投资款仍未实缴，公司资产不足以清偿债务，董监高责任何在？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（八）注册资本税会处理</w:t>
            </w:r>
          </w:p>
          <w:p w:rsidR="002C342A" w:rsidRDefault="0072722E">
            <w:pPr>
              <w:spacing w:line="35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（九）注册资本与建筑资质</w:t>
            </w:r>
            <w:bookmarkStart w:id="0" w:name="_GoBack"/>
            <w:bookmarkEnd w:id="0"/>
          </w:p>
        </w:tc>
      </w:tr>
    </w:tbl>
    <w:p w:rsidR="002C342A" w:rsidRDefault="002C342A">
      <w:pPr>
        <w:rPr>
          <w:rFonts w:ascii="宋体" w:eastAsia="宋体" w:hAnsi="宋体" w:cs="宋体"/>
          <w:kern w:val="0"/>
          <w:sz w:val="20"/>
          <w:szCs w:val="20"/>
        </w:rPr>
      </w:pPr>
    </w:p>
    <w:p w:rsidR="002C342A" w:rsidRDefault="0072722E">
      <w:pPr>
        <w:spacing w:line="380" w:lineRule="exact"/>
        <w:ind w:firstLineChars="100" w:firstLine="211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七、</w:t>
      </w:r>
      <w:r>
        <w:rPr>
          <w:rFonts w:ascii="宋体" w:hAnsi="宋体" w:hint="eastAsia"/>
          <w:b/>
          <w:szCs w:val="21"/>
        </w:rPr>
        <w:t>费用标准</w:t>
      </w:r>
    </w:p>
    <w:p w:rsidR="002C342A" w:rsidRDefault="0072722E">
      <w:pPr>
        <w:snapToGrid w:val="0"/>
        <w:spacing w:line="480" w:lineRule="atLeast"/>
        <w:ind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培训费1780元/人(培训费、资料费、场地费、现场咨询费等)。</w:t>
      </w:r>
    </w:p>
    <w:p w:rsidR="002C342A" w:rsidRDefault="0072722E">
      <w:pPr>
        <w:snapToGrid w:val="0"/>
        <w:spacing w:line="480" w:lineRule="atLeast"/>
        <w:ind w:firstLineChars="150" w:firstLine="315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宋体" w:hAnsi="宋体" w:hint="eastAsia"/>
          <w:szCs w:val="21"/>
        </w:rPr>
        <w:t>会员福利：协会每家会员企业限报一个免费名额。</w:t>
      </w:r>
    </w:p>
    <w:p w:rsidR="002C342A" w:rsidRDefault="002C342A">
      <w:pPr>
        <w:snapToGrid w:val="0"/>
        <w:spacing w:line="480" w:lineRule="atLeast"/>
        <w:ind w:firstLineChars="150" w:firstLine="480"/>
        <w:rPr>
          <w:rFonts w:ascii="华文仿宋" w:eastAsia="华文仿宋" w:hAnsi="华文仿宋" w:cs="华文仿宋"/>
          <w:sz w:val="32"/>
          <w:szCs w:val="32"/>
        </w:rPr>
      </w:pPr>
    </w:p>
    <w:p w:rsidR="002C342A" w:rsidRDefault="0072722E">
      <w:pPr>
        <w:snapToGrid w:val="0"/>
        <w:spacing w:line="480" w:lineRule="atLeas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协会秘书处联系人：郭爽　陆文超　江金连</w:t>
      </w:r>
    </w:p>
    <w:p w:rsidR="002C342A" w:rsidRDefault="0072722E">
      <w:pPr>
        <w:snapToGrid w:val="0"/>
        <w:spacing w:line="480" w:lineRule="atLeas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 xml:space="preserve">020-37625479 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/>
          <w:szCs w:val="21"/>
        </w:rPr>
        <w:t xml:space="preserve">83627225 </w:t>
      </w:r>
    </w:p>
    <w:p w:rsidR="002C342A" w:rsidRDefault="0072722E">
      <w:pPr>
        <w:pStyle w:val="a3"/>
        <w:snapToGrid w:val="0"/>
        <w:spacing w:before="0" w:line="480" w:lineRule="atLeast"/>
        <w:ind w:left="0"/>
        <w:jc w:val="both"/>
        <w:rPr>
          <w:rFonts w:ascii="宋体" w:eastAsiaTheme="minorEastAsia" w:hAnsi="宋体" w:cstheme="minorBidi"/>
          <w:kern w:val="2"/>
          <w:sz w:val="21"/>
          <w:szCs w:val="21"/>
          <w:lang w:val="en-US" w:bidi="ar-SA"/>
        </w:rPr>
      </w:pPr>
      <w:r>
        <w:rPr>
          <w:rFonts w:ascii="宋体" w:eastAsiaTheme="minorEastAsia" w:hAnsi="宋体" w:cstheme="minorBidi" w:hint="eastAsia"/>
          <w:kern w:val="2"/>
          <w:sz w:val="21"/>
          <w:szCs w:val="21"/>
          <w:lang w:val="en-US" w:bidi="ar-SA"/>
        </w:rPr>
        <w:t xml:space="preserve">   协会邮箱：3200133055@qq.com</w:t>
      </w:r>
    </w:p>
    <w:p w:rsidR="002C342A" w:rsidRDefault="002C342A">
      <w:pPr>
        <w:rPr>
          <w:rFonts w:ascii="宋体" w:hAnsi="宋体"/>
          <w:szCs w:val="21"/>
        </w:rPr>
      </w:pPr>
    </w:p>
    <w:p w:rsidR="002C342A" w:rsidRDefault="002C342A">
      <w:pPr>
        <w:rPr>
          <w:rFonts w:ascii="宋体" w:hAnsi="宋体"/>
          <w:szCs w:val="21"/>
        </w:rPr>
      </w:pPr>
    </w:p>
    <w:p w:rsidR="002C342A" w:rsidRDefault="0072722E">
      <w:pPr>
        <w:snapToGrid w:val="0"/>
        <w:spacing w:line="480" w:lineRule="atLeast"/>
        <w:ind w:firstLineChars="150" w:firstLine="31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2023年11月14日</w:t>
      </w:r>
    </w:p>
    <w:p w:rsidR="002C342A" w:rsidRDefault="002C342A">
      <w:pPr>
        <w:snapToGrid w:val="0"/>
        <w:spacing w:line="480" w:lineRule="atLeast"/>
        <w:rPr>
          <w:rFonts w:ascii="华文仿宋" w:eastAsia="华文仿宋" w:hAnsi="华文仿宋" w:cs="华文仿宋"/>
          <w:sz w:val="28"/>
          <w:szCs w:val="28"/>
        </w:rPr>
      </w:pPr>
    </w:p>
    <w:p w:rsidR="002C342A" w:rsidRDefault="002C342A">
      <w:pPr>
        <w:snapToGrid w:val="0"/>
        <w:spacing w:line="480" w:lineRule="atLeast"/>
        <w:ind w:firstLineChars="150" w:firstLine="420"/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2C342A" w:rsidRDefault="0072722E">
      <w:pPr>
        <w:spacing w:line="380" w:lineRule="exact"/>
        <w:ind w:rightChars="-160" w:right="-336"/>
        <w:jc w:val="center"/>
        <w:rPr>
          <w:rStyle w:val="a8"/>
          <w:rFonts w:ascii="宋体" w:hAnsi="宋体"/>
          <w:bCs w:val="0"/>
          <w:sz w:val="24"/>
        </w:rPr>
      </w:pPr>
      <w:r>
        <w:rPr>
          <w:rStyle w:val="a8"/>
          <w:rFonts w:ascii="宋体" w:hAnsi="宋体" w:hint="eastAsia"/>
          <w:bCs w:val="0"/>
          <w:sz w:val="24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22"/>
        <w:gridCol w:w="1134"/>
        <w:gridCol w:w="1417"/>
        <w:gridCol w:w="1943"/>
        <w:gridCol w:w="975"/>
        <w:gridCol w:w="1744"/>
      </w:tblGrid>
      <w:tr w:rsidR="002C342A">
        <w:trPr>
          <w:trHeight w:val="359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135" w:type="dxa"/>
            <w:gridSpan w:val="6"/>
            <w:vAlign w:val="center"/>
          </w:tcPr>
          <w:p w:rsidR="002C342A" w:rsidRDefault="002C342A">
            <w:pPr>
              <w:spacing w:line="410" w:lineRule="exact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8135" w:type="dxa"/>
            <w:gridSpan w:val="6"/>
            <w:vAlign w:val="center"/>
          </w:tcPr>
          <w:p w:rsidR="002C342A" w:rsidRDefault="002C342A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开户行、账号</w:t>
            </w:r>
          </w:p>
        </w:tc>
        <w:tc>
          <w:tcPr>
            <w:tcW w:w="8135" w:type="dxa"/>
            <w:gridSpan w:val="6"/>
            <w:vAlign w:val="center"/>
          </w:tcPr>
          <w:p w:rsidR="002C342A" w:rsidRDefault="002C342A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地址、电话</w:t>
            </w:r>
          </w:p>
        </w:tc>
        <w:tc>
          <w:tcPr>
            <w:tcW w:w="8135" w:type="dxa"/>
            <w:gridSpan w:val="6"/>
            <w:vAlign w:val="center"/>
          </w:tcPr>
          <w:p w:rsidR="002C342A" w:rsidRDefault="002C342A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922" w:type="dxa"/>
            <w:vAlign w:val="center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3360" w:type="dxa"/>
            <w:gridSpan w:val="2"/>
            <w:vAlign w:val="center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44" w:type="dxa"/>
            <w:vAlign w:val="center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代表姓名</w:t>
            </w:r>
          </w:p>
        </w:tc>
        <w:tc>
          <w:tcPr>
            <w:tcW w:w="922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943" w:type="dxa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手机</w:t>
            </w:r>
          </w:p>
        </w:tc>
        <w:tc>
          <w:tcPr>
            <w:tcW w:w="2719" w:type="dxa"/>
            <w:gridSpan w:val="2"/>
            <w:vAlign w:val="center"/>
          </w:tcPr>
          <w:p w:rsidR="002C342A" w:rsidRDefault="0072722E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邮箱地址；    Q Q号；</w:t>
            </w:r>
          </w:p>
        </w:tc>
      </w:tr>
      <w:tr w:rsidR="002C342A">
        <w:trPr>
          <w:trHeight w:val="382"/>
          <w:jc w:val="center"/>
        </w:trPr>
        <w:tc>
          <w:tcPr>
            <w:tcW w:w="1531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2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2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2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</w:tr>
      <w:tr w:rsidR="002C342A">
        <w:trPr>
          <w:trHeight w:val="382"/>
          <w:jc w:val="center"/>
        </w:trPr>
        <w:tc>
          <w:tcPr>
            <w:tcW w:w="1531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2"/>
          </w:tcPr>
          <w:p w:rsidR="002C342A" w:rsidRDefault="002C342A">
            <w:pPr>
              <w:tabs>
                <w:tab w:val="left" w:pos="360"/>
                <w:tab w:val="left" w:pos="540"/>
              </w:tabs>
              <w:spacing w:line="410" w:lineRule="exact"/>
              <w:rPr>
                <w:rFonts w:ascii="宋体" w:hAnsi="宋体"/>
                <w:szCs w:val="21"/>
              </w:rPr>
            </w:pPr>
          </w:p>
        </w:tc>
      </w:tr>
    </w:tbl>
    <w:p w:rsidR="002C342A" w:rsidRDefault="002C342A">
      <w:pPr>
        <w:snapToGrid w:val="0"/>
        <w:spacing w:line="480" w:lineRule="atLeast"/>
        <w:ind w:firstLineChars="150" w:firstLine="420"/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2C342A" w:rsidRDefault="002C342A">
      <w:pPr>
        <w:snapToGrid w:val="0"/>
        <w:spacing w:line="480" w:lineRule="atLeast"/>
        <w:ind w:firstLineChars="150" w:firstLine="420"/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2C342A" w:rsidRDefault="002C342A">
      <w:pPr>
        <w:snapToGrid w:val="0"/>
        <w:spacing w:line="480" w:lineRule="atLeast"/>
        <w:ind w:firstLineChars="150" w:firstLine="420"/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2C342A" w:rsidRDefault="002C342A">
      <w:pPr>
        <w:snapToGrid w:val="0"/>
        <w:spacing w:line="480" w:lineRule="atLeast"/>
        <w:ind w:firstLineChars="150" w:firstLine="420"/>
        <w:jc w:val="right"/>
        <w:rPr>
          <w:rFonts w:ascii="华文仿宋" w:eastAsia="华文仿宋" w:hAnsi="华文仿宋" w:cs="华文仿宋"/>
          <w:sz w:val="28"/>
          <w:szCs w:val="28"/>
        </w:rPr>
      </w:pPr>
    </w:p>
    <w:sectPr w:rsidR="002C342A" w:rsidSect="002C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B4" w:rsidRDefault="00FD18B4" w:rsidP="00D452FC">
      <w:r>
        <w:separator/>
      </w:r>
    </w:p>
  </w:endnote>
  <w:endnote w:type="continuationSeparator" w:id="1">
    <w:p w:rsidR="00FD18B4" w:rsidRDefault="00FD18B4" w:rsidP="00D4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Arial"/>
    <w:charset w:val="00"/>
    <w:family w:val="script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B4" w:rsidRDefault="00FD18B4" w:rsidP="00D452FC">
      <w:r>
        <w:separator/>
      </w:r>
    </w:p>
  </w:footnote>
  <w:footnote w:type="continuationSeparator" w:id="1">
    <w:p w:rsidR="00FD18B4" w:rsidRDefault="00FD18B4" w:rsidP="00D45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FiZWJiMWY4NGY3ZGNjMzIyYTQ5NzhiMmZkMWZlYjAifQ=="/>
  </w:docVars>
  <w:rsids>
    <w:rsidRoot w:val="002572EC"/>
    <w:rsid w:val="000E101B"/>
    <w:rsid w:val="001E40D1"/>
    <w:rsid w:val="002572EC"/>
    <w:rsid w:val="002C342A"/>
    <w:rsid w:val="0034588E"/>
    <w:rsid w:val="004B616E"/>
    <w:rsid w:val="00542DA7"/>
    <w:rsid w:val="0072722E"/>
    <w:rsid w:val="00D452FC"/>
    <w:rsid w:val="00F26DBC"/>
    <w:rsid w:val="00FD18B4"/>
    <w:rsid w:val="04DD41AE"/>
    <w:rsid w:val="7743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C34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C342A"/>
    <w:pPr>
      <w:autoSpaceDE w:val="0"/>
      <w:autoSpaceDN w:val="0"/>
      <w:spacing w:before="214"/>
      <w:ind w:left="765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C342A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2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C34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C342A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2C34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C34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C34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正文文本 Char"/>
    <w:basedOn w:val="a0"/>
    <w:link w:val="a3"/>
    <w:uiPriority w:val="1"/>
    <w:qFormat/>
    <w:rsid w:val="002C342A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NormalCharacter">
    <w:name w:val="NormalCharacter"/>
    <w:qFormat/>
    <w:rsid w:val="002C342A"/>
  </w:style>
  <w:style w:type="character" w:customStyle="1" w:styleId="Char0">
    <w:name w:val="日期 Char"/>
    <w:basedOn w:val="a0"/>
    <w:link w:val="a4"/>
    <w:uiPriority w:val="99"/>
    <w:semiHidden/>
    <w:qFormat/>
    <w:rsid w:val="002C34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协会</cp:lastModifiedBy>
  <cp:revision>5</cp:revision>
  <dcterms:created xsi:type="dcterms:W3CDTF">2023-11-15T01:57:00Z</dcterms:created>
  <dcterms:modified xsi:type="dcterms:W3CDTF">2023-11-15T02:35:00Z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DA531AE389004DFC9FCC81B35BF73066_13</vt:lpwstr>
  </property>
</Properties>
</file>