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left"/>
        <w:spacing w:lineRule="atLeast" w:line="420" w:before="280" w:beforeAutospacing="1" w:afterAutospacing="1" w:after="280"/>
        <w:ind w:right="0" w:firstLine="0"/>
        <w:rPr>
          <w:b w:val="1"/>
          <w:color w:val="333333"/>
          <w:position w:val="0"/>
          <w:sz w:val="32"/>
          <w:szCs w:val="32"/>
          <w:rFonts w:ascii="方正兰亭超细黑简体" w:eastAsia="方正兰亭超细黑简体" w:hAnsi="方正兰亭超细黑简体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方正兰亭超细黑简体" w:eastAsia="方正兰亭超细黑简体" w:hAnsi="方正兰亭超细黑简体" w:hint="default"/>
        </w:rPr>
        <w:t>2017广东省装饰行业协会岭南杯</w:t>
      </w:r>
    </w:p>
    <w:p>
      <w:pPr>
        <w:pStyle w:val="PO151"/>
        <w:numPr>
          <w:ilvl w:val="0"/>
          <w:numId w:val="0"/>
        </w:numPr>
        <w:jc w:val="left"/>
        <w:spacing w:lineRule="atLeast" w:line="420" w:before="280" w:beforeAutospacing="1" w:afterAutospacing="1" w:after="280"/>
        <w:ind w:right="0" w:firstLine="0"/>
        <w:rPr>
          <w:color w:val="333333"/>
          <w:position w:val="0"/>
          <w:sz w:val="21"/>
          <w:szCs w:val="21"/>
          <w:rFonts w:ascii="Verdana" w:eastAsia="Verdana" w:hAnsi="Verdana" w:hint="default"/>
        </w:rPr>
        <w:autoSpaceDE w:val="1"/>
        <w:autoSpaceDN w:val="1"/>
      </w:pPr>
      <w:r>
        <w:rPr>
          <w:b w:val="1"/>
          <w:color w:val="333333"/>
          <w:position w:val="0"/>
          <w:sz w:val="32"/>
          <w:szCs w:val="32"/>
          <w:rFonts w:ascii="方正兰亭超细黑简体" w:eastAsia="方正兰亭超细黑简体" w:hAnsi="方正兰亭超细黑简体" w:hint="default"/>
        </w:rPr>
        <w:t>获奖单位（产品、项目）品牌推广方案</w:t>
      </w:r>
    </w:p>
    <w:p>
      <w:pPr>
        <w:pStyle w:val="PO151"/>
        <w:numPr>
          <w:ilvl w:val="0"/>
          <w:numId w:val="0"/>
        </w:numPr>
        <w:jc w:val="left"/>
        <w:spacing w:lineRule="atLeast" w:line="420" w:before="280" w:beforeAutospacing="1" w:afterAutospacing="1" w:after="280"/>
        <w:ind w:right="0" w:firstLine="0"/>
        <w:rPr>
          <w:color w:val="333333"/>
          <w:position w:val="0"/>
          <w:sz w:val="21"/>
          <w:szCs w:val="21"/>
          <w:rFonts w:ascii="Verdana" w:eastAsia="Verdana" w:hAnsi="Verdana" w:hint="default"/>
        </w:rPr>
        <w:autoSpaceDE w:val="1"/>
        <w:autoSpaceDN w:val="1"/>
      </w:pPr>
    </w:p>
    <w:p>
      <w:pPr>
        <w:pStyle w:val="PO151"/>
        <w:numPr>
          <w:ilvl w:val="0"/>
          <w:numId w:val="0"/>
        </w:numPr>
        <w:jc w:val="left"/>
        <w:spacing w:lineRule="atLeast" w:line="420" w:before="280" w:beforeAutospacing="1" w:afterAutospacing="1" w:after="280"/>
        <w:ind w:right="0" w:firstLine="0"/>
        <w:rPr>
          <w:color w:val="333333"/>
          <w:position w:val="0"/>
          <w:sz w:val="21"/>
          <w:szCs w:val="21"/>
          <w:rFonts w:ascii="Verdana" w:eastAsia="Verdana" w:hAnsi="Verdana" w:hint="default"/>
        </w:rPr>
        <w:autoSpaceDE w:val="1"/>
        <w:autoSpaceDN w:val="1"/>
      </w:pPr>
      <w:r>
        <w:rPr>
          <w:b w:val="1"/>
          <w:color w:val="333333"/>
          <w:position w:val="0"/>
          <w:sz w:val="24"/>
          <w:szCs w:val="24"/>
          <w:rFonts w:ascii="Verdana" w:eastAsia="宋体" w:hAnsi="宋体" w:hint="default"/>
        </w:rPr>
        <w:t>获奖装饰、设计机构</w:t>
      </w:r>
      <w:r>
        <w:rPr>
          <w:b w:val="1"/>
          <w:color w:val="333333"/>
          <w:position w:val="0"/>
          <w:sz w:val="24"/>
          <w:szCs w:val="24"/>
          <w:rFonts w:ascii="Verdana" w:eastAsia="Verdana" w:hAnsi="Verdana" w:hint="default"/>
        </w:rPr>
        <w:t>(</w:t>
      </w:r>
      <w:r>
        <w:rPr>
          <w:b w:val="1"/>
          <w:color w:val="333333"/>
          <w:position w:val="0"/>
          <w:sz w:val="24"/>
          <w:szCs w:val="24"/>
          <w:rFonts w:ascii="Verdana" w:eastAsia="宋体" w:hAnsi="宋体" w:hint="default"/>
        </w:rPr>
        <w:t>及施工、监理项目</w:t>
      </w:r>
      <w:r>
        <w:rPr>
          <w:b w:val="1"/>
          <w:color w:val="333333"/>
          <w:position w:val="0"/>
          <w:sz w:val="24"/>
          <w:szCs w:val="24"/>
          <w:rFonts w:ascii="Verdana" w:eastAsia="Verdana" w:hAnsi="Verdana" w:hint="default"/>
        </w:rPr>
        <w:t>)</w:t>
      </w:r>
      <w:r>
        <w:rPr>
          <w:b w:val="1"/>
          <w:color w:val="333333"/>
          <w:position w:val="0"/>
          <w:sz w:val="24"/>
          <w:szCs w:val="24"/>
          <w:rFonts w:ascii="Verdana" w:eastAsia="宋体" w:hAnsi="宋体" w:hint="default"/>
        </w:rPr>
        <w:t>增值服务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A0" w:firstRow="1" w:lastRow="0" w:firstColumn="1" w:lastColumn="0" w:noHBand="0" w:noVBand="0"/>
        <w:tblLayout w:type="fixed"/>
      </w:tblPr>
      <w:tblGrid>
        <w:gridCol w:w="852"/>
        <w:gridCol w:w="1257"/>
        <w:gridCol w:w="1293"/>
        <w:gridCol w:w="5120"/>
      </w:tblGrid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</w:p>
        </w:tc>
        <w:tc>
          <w:tcPr>
            <w:tcW w:type="dxa" w:w="1257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基本费用</w:t>
            </w:r>
          </w:p>
        </w:tc>
        <w:tc>
          <w:tcPr>
            <w:tcW w:type="dxa" w:w="1293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推广费用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t xml:space="preserve">             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增值服务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</w:t>
            </w:r>
          </w:p>
        </w:tc>
        <w:tc>
          <w:tcPr>
            <w:tcW w:type="dxa" w:w="1257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93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both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4000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饰界网、搜狐网、设计饰空网、腾讯网、新浪网、凤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凰网刊登获奖专题报道一篇。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2</w:t>
            </w:r>
          </w:p>
        </w:tc>
        <w:tc>
          <w:tcPr>
            <w:tcW w:type="dxa" w:w="1257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93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5000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饰界网、搜狐网、腾讯网、中华网、新浪网、凤凰网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、中国新闻网、京报网、央视网刊登获奖专题报道一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篇。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3</w:t>
            </w:r>
          </w:p>
        </w:tc>
        <w:tc>
          <w:tcPr>
            <w:tcW w:type="dxa" w:w="1257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93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6000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饰界网、搜狐网、腾讯网、中华网、中国新闻网、凤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凰网、京报网、中国日报网、中国企业新闻网、深港新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闻网、上海财经网、光明网、香港卫视网、财道中国网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、新民网刊登获奖专题报道一篇。</w:t>
            </w:r>
          </w:p>
        </w:tc>
      </w:tr>
    </w:tbl>
    <w:p>
      <w:pPr>
        <w:pStyle w:val="PO151"/>
        <w:numPr>
          <w:ilvl w:val="0"/>
          <w:numId w:val="0"/>
        </w:numPr>
        <w:jc w:val="left"/>
        <w:spacing w:lineRule="atLeast" w:line="420" w:before="280" w:beforeAutospacing="1" w:afterAutospacing="1" w:after="280"/>
        <w:ind w:right="0" w:firstLine="0"/>
        <w:rPr>
          <w:color w:val="333333"/>
          <w:position w:val="0"/>
          <w:sz w:val="21"/>
          <w:szCs w:val="21"/>
          <w:rFonts w:ascii="Verdana" w:eastAsia="Verdana" w:hAnsi="Verdana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获奖材料企业增值服务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A0" w:firstRow="1" w:lastRow="0" w:firstColumn="1" w:lastColumn="0" w:noHBand="0" w:noVBand="0"/>
        <w:tblLayout w:type="fixed"/>
      </w:tblPr>
      <w:tblGrid>
        <w:gridCol w:w="852"/>
        <w:gridCol w:w="1275"/>
        <w:gridCol w:w="1275"/>
        <w:gridCol w:w="5120"/>
      </w:tblGrid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基本费用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 xml:space="preserve"> 推广费用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t xml:space="preserve">             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增值服务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 5000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饰界网、搜狐网、设计饰空网、腾讯网、新浪网、凤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凰网、央视网刊登获奖专题报道一篇。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2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 6000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饰界网、搜狐网、腾讯网、中华网、新浪网、中国新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闻网、凤凰网、央视网、新民网刊登获奖专题报道一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篇。</w:t>
            </w:r>
          </w:p>
        </w:tc>
      </w:tr>
      <w:tr>
        <w:trPr/>
        <w:tc>
          <w:tcPr>
            <w:tcW w:type="dxa" w:w="852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3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>1800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（组</w:t>
            </w:r>
            <w:r>
              <w:rPr>
                <w:color w:val="333333"/>
                <w:position w:val="0"/>
                <w:sz w:val="24"/>
                <w:szCs w:val="24"/>
                <w:rFonts w:ascii="Verdana" w:eastAsia="宋体" w:hAnsi="宋体" w:hint="default"/>
              </w:rPr>
              <w:t>织费）</w:t>
            </w:r>
          </w:p>
        </w:tc>
        <w:tc>
          <w:tcPr>
            <w:tcW w:type="dxa" w:w="1275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4"/>
                <w:szCs w:val="24"/>
                <w:rFonts w:ascii="Verdana" w:eastAsia="Verdana" w:hAnsi="Verdana" w:hint="default"/>
              </w:rPr>
              <w:t xml:space="preserve">  7000</w:t>
            </w:r>
          </w:p>
        </w:tc>
        <w:tc>
          <w:tcPr>
            <w:tcW w:type="dxa" w:w="5120"/>
            <w:vAlign w:val="top"/>
          </w:tcPr>
          <w:p>
            <w:pPr>
              <w:pStyle w:val="PO151"/>
              <w:numPr>
                <w:ilvl w:val="0"/>
                <w:numId w:val="0"/>
              </w:numPr>
              <w:jc w:val="left"/>
              <w:spacing w:lineRule="atLeast" w:line="420" w:before="280" w:beforeAutospacing="1" w:afterAutospacing="1" w:after="280"/>
              <w:ind w:right="0" w:firstLine="0"/>
              <w:rPr>
                <w:color w:val="333333"/>
                <w:position w:val="0"/>
                <w:sz w:val="21"/>
                <w:szCs w:val="21"/>
                <w:rFonts w:ascii="Verdana" w:eastAsia="Verdana" w:hAnsi="Verdana" w:hint="default"/>
              </w:rPr>
              <w:autoSpaceDE w:val="1"/>
              <w:autoSpaceDN w:val="1"/>
            </w:pP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饰界网、搜狐网、腾讯网、中华网、凤凰网、京报网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、中国日报网、中国企业新闻网、深港新闻网、经济瞭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望网、上海财经网、光明网、财道中国网、央视网、</w:t>
            </w:r>
            <w:r>
              <w:rPr>
                <w:color w:val="333333"/>
                <w:position w:val="0"/>
                <w:sz w:val="21"/>
                <w:szCs w:val="21"/>
                <w:rFonts w:ascii="Verdana" w:eastAsia="宋体" w:hAnsi="宋体" w:hint="default"/>
              </w:rPr>
              <w:t>新民网、南方都市网刊登获奖专题报道一篇。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Times New Roman" w:hAnsi="Times New Roman" w:hint="default"/>
        </w:rPr>
        <w:t>注：报道由获奖方提供，协会审核。如届时某些媒体无法发布，将由同类型媒体代替发布。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兰亭超细黑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ordWrap/>
    </w:pPr>
    <w:rPr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Normal (Web)"/>
    <w:basedOn w:val="PO1"/>
    <w:uiPriority w:val="151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94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2017-09-21T01:09:00Z</dcterms:modified>
</cp:coreProperties>
</file>